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4"/>
          <w:szCs w:val="24"/>
        </w:rPr>
      </w:pPr>
      <w:r>
        <w:rPr>
          <w:rFonts w:ascii="Liberation Sans" w:hAnsi="Liberation Sans"/>
          <w:b/>
          <w:bCs/>
          <w:sz w:val="24"/>
          <w:szCs w:val="24"/>
        </w:rPr>
        <w:t>Euskaldun</w:t>
      </w:r>
      <w:r>
        <w:rPr>
          <w:rFonts w:eastAsia="Noto Serif CJK SC" w:cs="Lohit Devanagari" w:ascii="Liberation Sans" w:hAnsi="Liberation Sans"/>
          <w:b/>
          <w:bCs/>
          <w:color w:val="auto"/>
          <w:kern w:val="2"/>
          <w:sz w:val="24"/>
          <w:szCs w:val="24"/>
          <w:lang w:val="eu-ES" w:eastAsia="zh-CN" w:bidi="hi-IN"/>
        </w:rPr>
        <w:t>e</w:t>
      </w:r>
      <w:r>
        <w:rPr>
          <w:rFonts w:ascii="Liberation Sans" w:hAnsi="Liberation Sans"/>
          <w:b/>
          <w:bCs/>
          <w:sz w:val="24"/>
          <w:szCs w:val="24"/>
        </w:rPr>
        <w:t>ntzat ez da justiziarik</w:t>
      </w:r>
    </w:p>
    <w:p>
      <w:pPr>
        <w:pStyle w:val="Normal"/>
        <w:jc w:val="both"/>
        <w:rPr>
          <w:rFonts w:ascii="Liberation Sans" w:hAnsi="Liberation Sans"/>
          <w:b w:val="false"/>
          <w:b w:val="false"/>
          <w:bCs w:val="false"/>
          <w:sz w:val="18"/>
          <w:szCs w:val="18"/>
        </w:rPr>
      </w:pPr>
      <w:r>
        <w:rPr>
          <w:rFonts w:ascii="Liberation Sans" w:hAnsi="Liberation Sans"/>
          <w:b w:val="false"/>
          <w:bCs w:val="false"/>
          <w:sz w:val="18"/>
          <w:szCs w:val="18"/>
        </w:rPr>
      </w:r>
    </w:p>
    <w:p>
      <w:pPr>
        <w:pStyle w:val="Normal"/>
        <w:jc w:val="both"/>
        <w:rPr>
          <w:rFonts w:ascii="Liberation Sans" w:hAnsi="Liberation Sans"/>
          <w:b w:val="false"/>
          <w:b w:val="false"/>
          <w:bCs w:val="false"/>
          <w:sz w:val="18"/>
          <w:szCs w:val="18"/>
        </w:rPr>
      </w:pPr>
      <w:r>
        <w:rPr>
          <w:rFonts w:ascii="Liberation Sans" w:hAnsi="Liberation Sans"/>
          <w:b w:val="false"/>
          <w:bCs w:val="false"/>
          <w:sz w:val="18"/>
          <w:szCs w:val="18"/>
        </w:rPr>
      </w:r>
    </w:p>
    <w:p>
      <w:pPr>
        <w:pStyle w:val="Normal"/>
        <w:jc w:val="both"/>
        <w:rPr>
          <w:sz w:val="19"/>
          <w:szCs w:val="19"/>
        </w:rPr>
      </w:pPr>
      <w:r>
        <w:rPr>
          <w:rFonts w:ascii="Liberation Sans" w:hAnsi="Liberation Sans"/>
          <w:b w:val="false"/>
          <w:bCs w:val="false"/>
          <w:sz w:val="19"/>
          <w:szCs w:val="19"/>
        </w:rPr>
        <w:t>2026ko otsailaren 5ean Baionan epaitu gintuzten, 2025eko irailaren 27an Departamenduaren Baionako egoitzaren horman “Euskaraz bizi nahi dugu” margotzeagatik. Ekintza horrekin, euskarak gutxiengo egoeratik ateratzeko behar duen diru kopuruari begira frantses instituzio politikoetako agintariek ematen dutena ez dela batere aski salatu genuen.</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eastAsia="Noto Serif CJK SC" w:cs="Lohit Devanagari" w:ascii="Liberation Sans" w:hAnsi="Liberation Sans"/>
          <w:b w:val="false"/>
          <w:bCs w:val="false"/>
          <w:color w:val="auto"/>
          <w:kern w:val="2"/>
          <w:sz w:val="19"/>
          <w:szCs w:val="19"/>
          <w:lang w:val="eu-ES" w:eastAsia="zh-CN" w:bidi="hi-IN"/>
        </w:rPr>
        <w:t>Aitzineko</w:t>
      </w:r>
      <w:r>
        <w:rPr>
          <w:rFonts w:ascii="Liberation Sans" w:hAnsi="Liberation Sans"/>
          <w:b w:val="false"/>
          <w:bCs w:val="false"/>
          <w:sz w:val="19"/>
          <w:szCs w:val="19"/>
        </w:rPr>
        <w:t xml:space="preserve"> hilabeteetan Baionan izandako zonbait auzitan 17 auziperatuei euskaraz deklaratzea debekatu zieten bezala, otsailaren 5eko auzi</w:t>
      </w:r>
      <w:r>
        <w:rPr>
          <w:rFonts w:eastAsia="Noto Serif CJK SC" w:cs="Lohit Devanagari" w:ascii="Liberation Sans" w:hAnsi="Liberation Sans"/>
          <w:b w:val="false"/>
          <w:bCs w:val="false"/>
          <w:color w:val="auto"/>
          <w:kern w:val="2"/>
          <w:sz w:val="19"/>
          <w:szCs w:val="19"/>
          <w:lang w:val="eu-ES" w:eastAsia="zh-CN" w:bidi="hi-IN"/>
        </w:rPr>
        <w:t>an</w:t>
      </w:r>
      <w:r>
        <w:rPr>
          <w:rFonts w:ascii="Liberation Sans" w:hAnsi="Liberation Sans"/>
          <w:b w:val="false"/>
          <w:bCs w:val="false"/>
          <w:sz w:val="19"/>
          <w:szCs w:val="19"/>
        </w:rPr>
        <w:t xml:space="preserve"> ere epaileak debekatu zigun. </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Epaitegietan euskaraz deklaratzea debekatzea oinarrizko eskubideen zapalkuntza da:</w:t>
      </w:r>
    </w:p>
    <w:p>
      <w:pPr>
        <w:pStyle w:val="Normal"/>
        <w:jc w:val="both"/>
        <w:rPr>
          <w:sz w:val="19"/>
          <w:szCs w:val="19"/>
        </w:rPr>
      </w:pPr>
      <w:r>
        <w:rPr>
          <w:rFonts w:ascii="Liberation Sans" w:hAnsi="Liberation Sans"/>
          <w:b w:val="false"/>
          <w:bCs w:val="false"/>
          <w:sz w:val="19"/>
          <w:szCs w:val="19"/>
        </w:rPr>
        <w:t>- ez baita inolaz ere zilegizkoa epaitegi batean bertako jatorrizko hizkuntzan deklaratzea norbaiti debekatzea;</w:t>
      </w:r>
    </w:p>
    <w:p>
      <w:pPr>
        <w:pStyle w:val="Normal"/>
        <w:jc w:val="both"/>
        <w:rPr>
          <w:sz w:val="19"/>
          <w:szCs w:val="19"/>
        </w:rPr>
      </w:pPr>
      <w:r>
        <w:rPr>
          <w:rFonts w:ascii="Liberation Sans" w:hAnsi="Liberation Sans"/>
          <w:b w:val="false"/>
          <w:bCs w:val="false"/>
          <w:sz w:val="19"/>
          <w:szCs w:val="19"/>
        </w:rPr>
        <w:t>- hitz egiten ditugun hizkuntzak garenez, garena izatea debekatzea delako, hots gure duintasuna ez errespetatzea delako;</w:t>
      </w:r>
    </w:p>
    <w:p>
      <w:pPr>
        <w:pStyle w:val="Normal"/>
        <w:jc w:val="both"/>
        <w:rPr>
          <w:sz w:val="19"/>
          <w:szCs w:val="19"/>
        </w:rPr>
      </w:pPr>
      <w:r>
        <w:rPr>
          <w:rFonts w:ascii="Liberation Sans" w:hAnsi="Liberation Sans"/>
          <w:b w:val="false"/>
          <w:bCs w:val="false"/>
          <w:sz w:val="19"/>
          <w:szCs w:val="19"/>
        </w:rPr>
        <w:t>- jatorrizko hizkuntza euskara den lurraldean, epaitegian frantsesez deklaratu nahi dutenak pribilegiatzen dituelako eta ondorioz euskaldunak bigarren mailako herritar egiten gaituelako.</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Baionako epaitegian euskaraz deklaratzea debekatua izatea, egoera orokorraren adibide bat da: hizkuntzei dagokienez, euskaldun</w:t>
      </w:r>
      <w:r>
        <w:rPr>
          <w:rFonts w:eastAsia="Noto Serif CJK SC" w:cs="Lohit Devanagari" w:ascii="Liberation Sans" w:hAnsi="Liberation Sans"/>
          <w:b w:val="false"/>
          <w:bCs w:val="false"/>
          <w:color w:val="auto"/>
          <w:kern w:val="2"/>
          <w:sz w:val="19"/>
          <w:szCs w:val="19"/>
          <w:lang w:val="eu-ES" w:eastAsia="zh-CN" w:bidi="hi-IN"/>
        </w:rPr>
        <w:t>e</w:t>
      </w:r>
      <w:r>
        <w:rPr>
          <w:rFonts w:ascii="Liberation Sans" w:hAnsi="Liberation Sans"/>
          <w:b w:val="false"/>
          <w:bCs w:val="false"/>
          <w:sz w:val="19"/>
          <w:szCs w:val="19"/>
        </w:rPr>
        <w:t>ntzat ez da justiziarik, zeren justizia, giza duintasuna errespetatzea da eta pertsona guziak berdintasunez tratatzea da.</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Betebehar etikoa da oinarrizko eskubideak errespetatzea eta zapalkuntzarik ez egitea. 1996an UNESCOk izenpetu zuen “Hizkuntz Eskubideen Adierazpen Unibertsala”k, 20. atalean hau dio: “Pertsona orok, epaitegietan, hizkuntza autoktonoak ahozkoan eta idatzian erabiltzeko eskubidea du” (1). Beraz, edozer izanda ere lege idazkiek diotena, epaileek euskaraz deklaratzea utzi behar dute.</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Gainera, euskaraz deklaratzen uzteko lege idazkiak behar badituzte, badira:</w:t>
      </w:r>
    </w:p>
    <w:p>
      <w:pPr>
        <w:pStyle w:val="Normal"/>
        <w:jc w:val="both"/>
        <w:rPr/>
      </w:pPr>
      <w:r>
        <w:rPr>
          <w:rFonts w:cs="Calibri" w:ascii="Liberation Sans" w:hAnsi="Liberation Sans" w:cstheme="minorHAnsi"/>
          <w:b w:val="false"/>
          <w:bCs w:val="false"/>
          <w:sz w:val="19"/>
          <w:szCs w:val="19"/>
        </w:rPr>
        <w:t xml:space="preserve">- “zapalkuntza mota guzien aurka pertsonen duintasuna babestea, balio konstituzionala duen araua da” </w:t>
      </w:r>
      <w:r>
        <w:rPr>
          <w:rStyle w:val="LienInternet"/>
          <w:rFonts w:cs="Calibri" w:ascii="Liberation Sans" w:hAnsi="Liberation Sans" w:cstheme="minorHAnsi"/>
          <w:b w:val="false"/>
          <w:bCs w:val="false"/>
          <w:color w:val="auto"/>
          <w:sz w:val="19"/>
          <w:szCs w:val="19"/>
          <w:u w:val="none"/>
        </w:rPr>
        <w:t>(2)</w:t>
      </w:r>
      <w:r>
        <w:rPr>
          <w:rFonts w:cs="Calibri" w:ascii="Liberation Sans" w:hAnsi="Liberation Sans" w:cstheme="minorHAnsi"/>
          <w:b w:val="false"/>
          <w:bCs w:val="false"/>
          <w:sz w:val="19"/>
          <w:szCs w:val="19"/>
        </w:rPr>
        <w:t>;</w:t>
      </w:r>
    </w:p>
    <w:p>
      <w:pPr>
        <w:pStyle w:val="Normal"/>
        <w:jc w:val="both"/>
        <w:rPr>
          <w:sz w:val="19"/>
          <w:szCs w:val="19"/>
        </w:rPr>
      </w:pPr>
      <w:r>
        <w:rPr>
          <w:rFonts w:ascii="Liberation Sans" w:hAnsi="Liberation Sans"/>
          <w:b w:val="false"/>
          <w:bCs w:val="false"/>
          <w:sz w:val="19"/>
          <w:szCs w:val="19"/>
        </w:rPr>
        <w:t>- “zapalkuntzari aurre egitea, gizakien eskubide natural eta behin betikoa da” (1789ko Gizakiaren eta Herritarraren Adierazpena, balio konstituzionala duena) (3).</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Beraz, edozer izanda ere frantses Konstituzioak bestalde diona, euskaraz deklaratzea epaileek legez utzi behar dute. Hala ere, frantses Konstituzioaren 2. atalak epaitegietan euskaraz deklaratzea debekatzen duela diote.</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1992an, legebiltzarkideek, Konstituzioaren 2. atalean “La langue de la République est le français” esaldia gehitzearen alde bozkatu zuten, frantsesa ingelesarengandik babesteko. Hain zuzen, urte hartan Frantzia Maastricht-eko europar ituna izenpetzekotan zen, eta Frantziako legebiltzarkideek, itun horrek frantses hizkuntzaren erabilpena apalduko zuela uste zuten. Bozkatu aitzin, hainbat legebiltzarkidek, esaldi hori ez litzatekeela euskara bezalako hizkuntza gutxituen aurka erabili behar erran zuen; orduan, orduko justizia ministroak, ez zela horretarako erabiliko zin egin zion (4). Beraz argi da, esaldi horren gehitzearen alde bozkatu zuten legebiltzarkideentzat, esaldi horren muina, frantsesa ingelesarengandik babestea zen, eta ez hizkuntza gutxituak zapaltzea. Epaile</w:t>
      </w:r>
      <w:r>
        <w:rPr>
          <w:rFonts w:eastAsia="Noto Serif CJK SC" w:cs="Lohit Devanagari" w:ascii="Liberation Sans" w:hAnsi="Liberation Sans"/>
          <w:b w:val="false"/>
          <w:bCs w:val="false"/>
          <w:color w:val="auto"/>
          <w:kern w:val="2"/>
          <w:sz w:val="19"/>
          <w:szCs w:val="19"/>
          <w:lang w:val="eu-ES" w:eastAsia="zh-CN" w:bidi="hi-IN"/>
        </w:rPr>
        <w:t>e</w:t>
      </w:r>
      <w:r>
        <w:rPr>
          <w:rFonts w:ascii="Liberation Sans" w:hAnsi="Liberation Sans"/>
          <w:b w:val="false"/>
          <w:bCs w:val="false"/>
          <w:sz w:val="19"/>
          <w:szCs w:val="19"/>
        </w:rPr>
        <w:t>k legearen muina errespetat</w:t>
      </w:r>
      <w:r>
        <w:rPr>
          <w:rFonts w:eastAsia="Noto Serif CJK SC" w:cs="Lohit Devanagari" w:ascii="Liberation Sans" w:hAnsi="Liberation Sans"/>
          <w:b w:val="false"/>
          <w:bCs w:val="false"/>
          <w:color w:val="auto"/>
          <w:kern w:val="2"/>
          <w:sz w:val="19"/>
          <w:szCs w:val="19"/>
          <w:lang w:val="eu-ES" w:eastAsia="zh-CN" w:bidi="hi-IN"/>
        </w:rPr>
        <w:t>u</w:t>
      </w:r>
      <w:r>
        <w:rPr>
          <w:rFonts w:ascii="Liberation Sans" w:hAnsi="Liberation Sans"/>
          <w:b w:val="false"/>
          <w:bCs w:val="false"/>
          <w:sz w:val="19"/>
          <w:szCs w:val="19"/>
        </w:rPr>
        <w:t xml:space="preserve"> behar dute, baina ez dute errespetatzen.</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Frantses legedian ez da idatzia epaitegietan euskaraz deklaratzea debekatua dela. “La langue de la République est le français” esaldiaren izenean epaileek ezin dute legalki euskaraz deklaratzea debekatu, baina debekatzen dute. Ilegala da, legebiltzarkideen nahiaren aurka egitea delako. Epaileen erabaki politiko antidemokratiko larria da.</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Horra beste froga bat politikoa dela: Hego Euskal Herriko Euskal Autonomia Erkidegoan euskara ofiziala denez, EAEko herritarrek Baionako epaitegian euskaraz deklaratzeko eskubide legala dute. 2004ko urtarrilaren 8an, Baionako epaitegian, DEMOen aurkako epaiketan, EAEko auziperatuek euskaraz deklaratu ahal izan zuten (5). 2026ko otsailaren 5eko auzian aldiz, nahiz eta epaileak hilabete bat lehenago itzultzaile profesional euskaldunen zerrenda bat eskuratu, itzultzaile gazteleradun bat etorrarazi zuen. EAEko hiru auziperatuoi euskaraz deklaratzea debekatu zigun eta 500 €ko isuna gibelapenarekin ordaintzera kondenatu gintuen. Laugarrenari, Ipar Euskal Herrikoa, euskaraz deklaratzea debekatu zion ere; 1500 €ko isuna ordaintzera kondenatu zuen eta bi urterako eskubide zibikoak kendu zizkion. Epaiketa honek ez du inolako zilegitasunik, epaiketa batean akusatuak bere burua defenditzeko aukera ukan behar baitu, eta epaileak ez zuelako baliozko argumentu juridikorik eman euskaraz deklaratzea debekatzeko.</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Erresuma Batuko Galeseko epaitegietan galeseraz deklaratzen ahal da, Italiako Trentino-Alto Adige-eko epaitegietan alemaneraz, Eslovenian hungarieraz, Suitzan italieraz, Danimarkako Faroeak ugarteetan faroeraz, Kanadako Quebecen frantsesez!</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both"/>
        <w:rPr>
          <w:sz w:val="19"/>
          <w:szCs w:val="19"/>
        </w:rPr>
      </w:pPr>
      <w:r>
        <w:rPr>
          <w:rFonts w:ascii="Liberation Sans" w:hAnsi="Liberation Sans"/>
          <w:b w:val="false"/>
          <w:bCs w:val="false"/>
          <w:sz w:val="19"/>
          <w:szCs w:val="19"/>
        </w:rPr>
        <w:t>Baionako epaileek, epaitegian euskaraz deklaratzea politikoki debekatzen dutenez, aterabidea politikoa izanen da. Horiek hola, Euskal Herriko hautetsiei, Baionako epaitegian euskaraz deklaratzen uztea frantses Estatuko agintariei exi</w:t>
      </w:r>
      <w:r>
        <w:rPr>
          <w:rFonts w:eastAsia="Noto Serif CJK SC" w:cs="Lohit Devanagari" w:ascii="Liberation Sans" w:hAnsi="Liberation Sans"/>
          <w:b w:val="false"/>
          <w:bCs w:val="false"/>
          <w:color w:val="auto"/>
          <w:kern w:val="2"/>
          <w:sz w:val="19"/>
          <w:szCs w:val="19"/>
          <w:lang w:val="eu-ES" w:eastAsia="zh-CN" w:bidi="hi-IN"/>
        </w:rPr>
        <w:t>j</w:t>
      </w:r>
      <w:r>
        <w:rPr>
          <w:rFonts w:ascii="Liberation Sans" w:hAnsi="Liberation Sans"/>
          <w:b w:val="false"/>
          <w:bCs w:val="false"/>
          <w:sz w:val="19"/>
          <w:szCs w:val="19"/>
        </w:rPr>
        <w:t xml:space="preserve">itzea eskatzen dizuegu. </w:t>
      </w:r>
    </w:p>
    <w:p>
      <w:pPr>
        <w:pStyle w:val="Normal"/>
        <w:jc w:val="both"/>
        <w:rPr>
          <w:rFonts w:ascii="Liberation Sans" w:hAnsi="Liberation Sans"/>
          <w:b w:val="false"/>
          <w:b w:val="false"/>
          <w:bCs w:val="false"/>
          <w:sz w:val="19"/>
          <w:szCs w:val="19"/>
        </w:rPr>
      </w:pPr>
      <w:r>
        <w:rPr>
          <w:rFonts w:ascii="Liberation Sans" w:hAnsi="Liberation Sans"/>
          <w:b w:val="false"/>
          <w:bCs w:val="false"/>
          <w:sz w:val="19"/>
          <w:szCs w:val="19"/>
        </w:rPr>
      </w:r>
    </w:p>
    <w:p>
      <w:pPr>
        <w:pStyle w:val="Normal"/>
        <w:jc w:val="right"/>
        <w:rPr>
          <w:sz w:val="19"/>
          <w:szCs w:val="19"/>
        </w:rPr>
      </w:pPr>
      <w:r>
        <w:rPr>
          <w:rFonts w:ascii="Liberation Sans" w:hAnsi="Liberation Sans"/>
          <w:b w:val="false"/>
          <w:bCs w:val="false"/>
          <w:sz w:val="19"/>
          <w:szCs w:val="19"/>
        </w:rPr>
        <w:t>Otsailaren 5eko auziperatuak:</w:t>
      </w:r>
    </w:p>
    <w:p>
      <w:pPr>
        <w:pStyle w:val="Normal"/>
        <w:jc w:val="right"/>
        <w:rPr>
          <w:sz w:val="19"/>
          <w:szCs w:val="19"/>
        </w:rPr>
      </w:pPr>
      <w:r>
        <w:rPr>
          <w:rFonts w:ascii="Liberation Sans" w:hAnsi="Liberation Sans"/>
          <w:b w:val="false"/>
          <w:bCs w:val="false"/>
          <w:sz w:val="19"/>
          <w:szCs w:val="19"/>
        </w:rPr>
        <w:t>Gorka Roca Torre, Ignacio Arenal Sánchez, Lukarte Areskurrinaga Mirandona eta Xabier Renteria Uriarte</w:t>
      </w:r>
    </w:p>
    <w:p>
      <w:pPr>
        <w:pStyle w:val="Normal"/>
        <w:jc w:val="right"/>
        <w:rPr>
          <w:sz w:val="19"/>
          <w:szCs w:val="19"/>
        </w:rPr>
      </w:pPr>
      <w:r>
        <w:rPr>
          <w:rFonts w:cs="Calibri" w:ascii="Liberation Sans" w:hAnsi="Liberation Sans" w:cstheme="minorHAnsi"/>
          <w:b w:val="false"/>
          <w:bCs w:val="false"/>
          <w:sz w:val="19"/>
          <w:szCs w:val="19"/>
        </w:rPr>
        <w:t xml:space="preserve">2026ko </w:t>
      </w:r>
      <w:r>
        <w:rPr>
          <w:rFonts w:eastAsia="Noto Serif CJK SC" w:cs="Calibri" w:ascii="Liberation Sans" w:hAnsi="Liberation Sans" w:cstheme="minorHAnsi"/>
          <w:b w:val="false"/>
          <w:bCs w:val="false"/>
          <w:color w:val="auto"/>
          <w:kern w:val="2"/>
          <w:sz w:val="19"/>
          <w:szCs w:val="19"/>
          <w:lang w:val="eu-ES" w:eastAsia="zh-CN" w:bidi="hi-IN"/>
        </w:rPr>
        <w:t>apiril</w:t>
      </w:r>
      <w:r>
        <w:rPr>
          <w:rFonts w:cs="Calibri" w:ascii="Liberation Sans" w:hAnsi="Liberation Sans" w:cstheme="minorHAnsi"/>
          <w:b w:val="false"/>
          <w:bCs w:val="false"/>
          <w:sz w:val="19"/>
          <w:szCs w:val="19"/>
        </w:rPr>
        <w:t xml:space="preserve">aren </w:t>
      </w:r>
      <w:r>
        <w:rPr>
          <w:rFonts w:eastAsia="Noto Serif CJK SC" w:cs="Calibri" w:ascii="Liberation Sans" w:hAnsi="Liberation Sans" w:cstheme="minorHAnsi"/>
          <w:b w:val="false"/>
          <w:bCs w:val="false"/>
          <w:color w:val="auto"/>
          <w:kern w:val="2"/>
          <w:sz w:val="19"/>
          <w:szCs w:val="19"/>
          <w:lang w:val="eu-ES" w:eastAsia="zh-CN" w:bidi="hi-IN"/>
        </w:rPr>
        <w:t>11</w:t>
      </w:r>
      <w:r>
        <w:rPr>
          <w:rFonts w:cs="Calibri" w:ascii="Liberation Sans" w:hAnsi="Liberation Sans" w:cstheme="minorHAnsi"/>
          <w:b w:val="false"/>
          <w:bCs w:val="false"/>
          <w:sz w:val="19"/>
          <w:szCs w:val="19"/>
        </w:rPr>
        <w:t>an</w:t>
      </w:r>
    </w:p>
    <w:p>
      <w:pPr>
        <w:pStyle w:val="Normal"/>
        <w:jc w:val="both"/>
        <w:rPr>
          <w:rFonts w:ascii="Liberation Sans" w:hAnsi="Liberation Sans"/>
          <w:b w:val="false"/>
          <w:b w:val="false"/>
          <w:bCs w:val="false"/>
          <w:sz w:val="18"/>
          <w:szCs w:val="18"/>
        </w:rPr>
      </w:pPr>
      <w:r>
        <w:rPr>
          <w:rFonts w:ascii="Liberation Sans" w:hAnsi="Liberation Sans"/>
          <w:b w:val="false"/>
          <w:bCs w:val="false"/>
          <w:sz w:val="18"/>
          <w:szCs w:val="18"/>
        </w:rPr>
      </w:r>
    </w:p>
    <w:p>
      <w:pPr>
        <w:pStyle w:val="Normal"/>
        <w:jc w:val="both"/>
        <w:rPr/>
      </w:pPr>
      <w:r>
        <w:rPr>
          <w:rStyle w:val="LienInternet"/>
          <w:rFonts w:cs="Calibri" w:ascii="Liberation Sans" w:hAnsi="Liberation Sans" w:cstheme="minorHAnsi"/>
          <w:b w:val="false"/>
          <w:bCs w:val="false"/>
          <w:color w:val="auto"/>
          <w:sz w:val="16"/>
          <w:szCs w:val="16"/>
          <w:u w:val="none"/>
        </w:rPr>
        <w:t xml:space="preserve">(1) </w:t>
      </w:r>
      <w:hyperlink r:id="rId2">
        <w:r>
          <w:rPr>
            <w:rStyle w:val="LienInternet"/>
            <w:rFonts w:cs="Calibri" w:ascii="Liberation Sans" w:hAnsi="Liberation Sans" w:cstheme="minorHAnsi"/>
            <w:b w:val="false"/>
            <w:bCs w:val="false"/>
            <w:color w:val="auto"/>
            <w:sz w:val="16"/>
            <w:szCs w:val="16"/>
            <w:u w:val="none"/>
            <w:lang w:val="fr-FR"/>
          </w:rPr>
          <w:t>https://www.pencatala.cat/wp-content/uploads/2016/02/dlr_frances.pdf</w:t>
        </w:r>
      </w:hyperlink>
    </w:p>
    <w:p>
      <w:pPr>
        <w:pStyle w:val="Normal"/>
        <w:jc w:val="both"/>
        <w:rPr/>
      </w:pPr>
      <w:r>
        <w:rPr>
          <w:rFonts w:cs="Calibri" w:ascii="Liberation Sans" w:hAnsi="Liberation Sans" w:cstheme="minorHAnsi"/>
          <w:b w:val="false"/>
          <w:bCs w:val="false"/>
          <w:sz w:val="16"/>
          <w:szCs w:val="16"/>
          <w:lang w:val="fr-FR"/>
        </w:rPr>
        <w:t xml:space="preserve">(2) </w:t>
      </w:r>
      <w:hyperlink r:id="rId3">
        <w:r>
          <w:rPr>
            <w:rStyle w:val="LienInternet"/>
            <w:rFonts w:cs="Calibri" w:ascii="Liberation Sans" w:hAnsi="Liberation Sans" w:cstheme="minorHAnsi"/>
            <w:b w:val="false"/>
            <w:bCs w:val="false"/>
            <w:color w:val="auto"/>
            <w:sz w:val="16"/>
            <w:szCs w:val="16"/>
            <w:u w:val="none"/>
            <w:lang w:val="fr-FR"/>
          </w:rPr>
          <w:t>https://www.conseil-constitutionnel.fr/decision/1995/94359DC.htm</w:t>
        </w:r>
      </w:hyperlink>
    </w:p>
    <w:p>
      <w:pPr>
        <w:pStyle w:val="Normal"/>
        <w:jc w:val="both"/>
        <w:rPr/>
      </w:pPr>
      <w:r>
        <w:rPr>
          <w:rStyle w:val="LienInternet"/>
          <w:rFonts w:ascii="Liberation Sans" w:hAnsi="Liberation Sans"/>
          <w:b w:val="false"/>
          <w:bCs w:val="false"/>
          <w:sz w:val="16"/>
          <w:szCs w:val="16"/>
        </w:rPr>
        <w:t xml:space="preserve">(3) </w:t>
      </w:r>
      <w:hyperlink r:id="rId4">
        <w:r>
          <w:rPr>
            <w:rStyle w:val="LienInternet"/>
            <w:rFonts w:ascii="Liberation Sans" w:hAnsi="Liberation Sans"/>
            <w:b w:val="false"/>
            <w:bCs w:val="false"/>
            <w:sz w:val="16"/>
            <w:szCs w:val="16"/>
          </w:rPr>
          <w:t>https://www.legifrance.gouv.fr/loda/id/JORFTEXT000000697056?isSuggest=true</w:t>
        </w:r>
      </w:hyperlink>
    </w:p>
    <w:p>
      <w:pPr>
        <w:pStyle w:val="Normal"/>
        <w:jc w:val="both"/>
        <w:rPr/>
      </w:pPr>
      <w:r>
        <w:rPr>
          <w:rStyle w:val="LienInternet"/>
          <w:rFonts w:cs="Calibri" w:ascii="Liberation Sans" w:hAnsi="Liberation Sans" w:cstheme="minorHAnsi"/>
          <w:b w:val="false"/>
          <w:bCs w:val="false"/>
          <w:color w:val="auto"/>
          <w:sz w:val="16"/>
          <w:szCs w:val="16"/>
          <w:u w:val="none"/>
          <w:lang w:val="fr-FR"/>
        </w:rPr>
        <w:t>(</w:t>
      </w:r>
      <w:r>
        <w:rPr>
          <w:rStyle w:val="LienInternet"/>
          <w:rFonts w:cs="Calibri" w:ascii="Liberation Sans" w:hAnsi="Liberation Sans" w:cstheme="minorHAnsi"/>
          <w:b w:val="false"/>
          <w:bCs w:val="false"/>
          <w:color w:val="auto"/>
          <w:sz w:val="16"/>
          <w:szCs w:val="16"/>
          <w:u w:val="none"/>
        </w:rPr>
        <w:t>4</w:t>
      </w:r>
      <w:r>
        <w:rPr>
          <w:rStyle w:val="LienInternet"/>
          <w:rFonts w:cs="Calibri" w:ascii="Liberation Sans" w:hAnsi="Liberation Sans" w:cstheme="minorHAnsi"/>
          <w:b w:val="false"/>
          <w:bCs w:val="false"/>
          <w:color w:val="auto"/>
          <w:sz w:val="16"/>
          <w:szCs w:val="16"/>
          <w:u w:val="none"/>
          <w:lang w:val="fr-FR"/>
        </w:rPr>
        <w:t xml:space="preserve">) </w:t>
      </w:r>
      <w:hyperlink r:id="rId5">
        <w:r>
          <w:rPr>
            <w:rStyle w:val="LienInternet"/>
            <w:rFonts w:cs="Calibri" w:ascii="Liberation Sans" w:hAnsi="Liberation Sans" w:cstheme="minorHAnsi"/>
            <w:b w:val="false"/>
            <w:bCs w:val="false"/>
            <w:color w:val="000000"/>
            <w:sz w:val="16"/>
            <w:szCs w:val="16"/>
          </w:rPr>
          <w:t>https://archives.assemblee-nationale.fr/9/cri/1991-1992-ordinaire2/027.pdf</w:t>
        </w:r>
      </w:hyperlink>
    </w:p>
    <w:p>
      <w:pPr>
        <w:pStyle w:val="Normal"/>
        <w:jc w:val="both"/>
        <w:rPr>
          <w:rStyle w:val="LienInternet"/>
        </w:rPr>
      </w:pPr>
      <w:hyperlink r:id="rId6">
        <w:r>
          <w:rPr>
            <w:rStyle w:val="LienInternet"/>
            <w:rFonts w:ascii="Liberation Sans" w:hAnsi="Liberation Sans"/>
            <w:b w:val="false"/>
            <w:bCs w:val="false"/>
            <w:sz w:val="16"/>
            <w:szCs w:val="16"/>
          </w:rPr>
          <w:t>(5) https://www.languefrancaise.net/Info/2004-01-09-Militants-bilinguisme-franco-basque-contre-SNCF</w:t>
        </w:r>
      </w:hyperlink>
    </w:p>
    <w:sectPr>
      <w:type w:val="nextPage"/>
      <w:pgSz w:w="11906" w:h="16838"/>
      <w:pgMar w:left="567"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Liberation Sans">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Titre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90"/>
  <w:defaultTabStop w:val="709"/>
  <w:autoHyphenation w:val="true"/>
  <w:compat>
    <w:compatSetting w:name="compatibilityMode" w:uri="http://schemas.microsoft.com/office/word" w:val="14"/>
  </w:compat>
  <w:hyphenationZone w:val="425"/>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u-ES"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Liberation Serif" w:hAnsi="Liberation Serif" w:eastAsia="Noto Serif CJK SC" w:cs="Lohit Devanagari"/>
      <w:color w:val="auto"/>
      <w:kern w:val="2"/>
      <w:sz w:val="24"/>
      <w:szCs w:val="24"/>
      <w:lang w:val="eu-ES" w:eastAsia="zh-CN" w:bidi="hi-IN"/>
    </w:rPr>
  </w:style>
  <w:style w:type="paragraph" w:styleId="Titre3">
    <w:name w:val="Heading 3"/>
    <w:basedOn w:val="Titreprincipal"/>
    <w:next w:val="Corpsdetexte"/>
    <w:qFormat/>
    <w:pPr>
      <w:numPr>
        <w:ilvl w:val="2"/>
        <w:numId w:val="1"/>
      </w:numPr>
      <w:spacing w:before="140" w:after="120"/>
      <w:outlineLvl w:val="2"/>
    </w:pPr>
    <w:rPr>
      <w:rFonts w:ascii="Liberation Serif" w:hAnsi="Liberation Serif" w:eastAsia="Noto Serif CJK SC"/>
      <w:b/>
      <w:bCs/>
    </w:rPr>
  </w:style>
  <w:style w:type="character" w:styleId="DefaultParagraphFont" w:default="1">
    <w:name w:val="Default Paragraph Font"/>
    <w:uiPriority w:val="1"/>
    <w:semiHidden/>
    <w:unhideWhenUsed/>
    <w:qFormat/>
    <w:rPr/>
  </w:style>
  <w:style w:type="character" w:styleId="LienInternet" w:customStyle="1">
    <w:name w:val="Lien Internet"/>
    <w:rPr>
      <w:color w:val="000080"/>
      <w:u w:val="single"/>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style>
  <w:style w:type="paragraph" w:styleId="Lgende">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style>
  <w:style w:type="paragraph" w:styleId="Titreprincipal">
    <w:name w:val="Title"/>
    <w:basedOn w:val="Normal"/>
    <w:next w:val="Corpsdetexte"/>
    <w:qFormat/>
    <w:pPr>
      <w:keepNext w:val="true"/>
      <w:spacing w:before="240" w:after="120"/>
    </w:pPr>
    <w:rPr>
      <w:rFonts w:ascii="Liberation Sans" w:hAnsi="Liberation Sans" w:eastAsia="Noto Sans CJK SC"/>
      <w:sz w:val="28"/>
      <w:szCs w:val="28"/>
    </w:rPr>
  </w:style>
  <w:style w:type="paragraph" w:styleId="Caption">
    <w:name w:val="caption"/>
    <w:basedOn w:val="Normal"/>
    <w:qFormat/>
    <w:pPr>
      <w:suppressLineNumbers/>
      <w:spacing w:before="120" w:after="120"/>
    </w:pPr>
    <w:rPr>
      <w:i/>
      <w:iCs/>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pencatala.cat/wp-content/uploads/2016/02/dlr_frances.pdf" TargetMode="External"/><Relationship Id="rId3" Type="http://schemas.openxmlformats.org/officeDocument/2006/relationships/hyperlink" Target="https://www.conseil-constitutionnel.fr/decision/1995/94359DC.htm" TargetMode="External"/><Relationship Id="rId4" Type="http://schemas.openxmlformats.org/officeDocument/2006/relationships/hyperlink" Target="https://www.legifrance.gouv.fr/loda/id/JORFTEXT000000697056?isSuggest=true" TargetMode="External"/><Relationship Id="rId5" Type="http://schemas.openxmlformats.org/officeDocument/2006/relationships/hyperlink" Target="https://archives.assemblee-nationale.fr/9/cri/1991-1992-ordinaire2/027.pdf" TargetMode="External"/><Relationship Id="rId6" Type="http://schemas.openxmlformats.org/officeDocument/2006/relationships/hyperlink" Target="https://www.languefrancaise.net/Info/2004-01-09-Militants-bilinguisme-franco-basque-contre-SNCF" TargetMode="Externa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Application>LibreOffice/7.0.4.2$Linux_X86_64 LibreOffice_project/00$Build-2</Application>
  <AppVersion>15.0000</AppVersion>
  <Pages>1</Pages>
  <Words>624</Words>
  <Characters>4878</Characters>
  <CharactersWithSpaces>5478</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2026-02-14T11:30:00Z</dcterms:created>
  <dc:creator>Xantal</dc:creator>
  <dc:description/>
  <dc:language>eu-ES</dc:language>
  <cp:lastModifiedBy/>
  <cp:lastPrinted>2026-04-10T07:13:11Z</cp:lastPrinted>
  <dcterms:modified xsi:type="dcterms:W3CDTF">2026-04-11T15:48:21Z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